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jc w:val="right"/>
        <w:rPr>
          <w:rFonts w:ascii="Arial" w:hAnsi="Arial" w:eastAsia="Arial" w:cs="Arial"/>
          <w:b/>
          <w:bCs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Arial" w:hAnsi="Arial" w:eastAsia="Arial" w:cs="Arial"/>
          <w:b/>
          <w:color w:val="000000"/>
          <w:sz w:val="24"/>
        </w:rPr>
        <w:t xml:space="preserve">ПРОЕКТ</w:t>
      </w:r>
      <w:r>
        <w:rPr>
          <w:rFonts w:ascii="Arial" w:hAnsi="Arial" w:eastAsia="Arial" w:cs="Arial"/>
          <w:b/>
          <w:color w:val="000000"/>
          <w:sz w:val="24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2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eastAsia="Arial" w:cs="Arial"/>
          <w:b/>
          <w:color w:val="000000"/>
          <w:sz w:val="24"/>
          <w:highlight w:val="none"/>
        </w:rPr>
      </w:r>
      <w:r>
        <w:rPr>
          <w:rFonts w:ascii="Arial" w:hAnsi="Arial" w:eastAsia="Arial" w:cs="Arial"/>
          <w:b/>
          <w:color w:val="000000"/>
          <w:sz w:val="24"/>
          <w:highlight w:val="none"/>
        </w:rPr>
      </w:r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/>
      <w:bookmarkStart w:id="0" w:name="P43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«ПОДДЕРЖКА ОБЩЕСТВЕННЫХ ИНИЦИАТИВ»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в администрации города Владивостока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Поддержка общественных инициатив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 Основные положения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551"/>
        <w:gridCol w:w="7150"/>
      </w:tblGrid>
      <w:tr>
        <w:tblPrEx/>
        <w:trPr/>
        <w:tc>
          <w:tcPr>
            <w:tcW w:w="255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150" w:type="dxa"/>
            <w:textDirection w:val="lrTb"/>
            <w:noWrap w:val="false"/>
          </w:tcPr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Стегний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Владимировна, заместитель главы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55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150" w:type="dxa"/>
            <w:textDirection w:val="lrTb"/>
            <w:noWrap w:val="false"/>
          </w:tcPr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общественных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55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150" w:type="dxa"/>
            <w:textDirection w:val="lrTb"/>
            <w:noWrap w:val="false"/>
          </w:tcPr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55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150" w:type="dxa"/>
            <w:textDirection w:val="lrTb"/>
            <w:noWrap w:val="false"/>
          </w:tcPr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01.01.2024 - 31.12.2030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55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150" w:type="dxa"/>
            <w:textDirection w:val="lrTb"/>
            <w:noWrap w:val="false"/>
          </w:tcPr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благоприятных условий для реализации СОНКО города Владивостока общественно значимых инициатив.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Формирование механизма партнерских отношений между администрацией города Владивостока и некоммерческими организациями, общественными объединениями города Владивостока.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Развитие ТОС на территории Владивостокского городского округа.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Создание благоприятных условий для реализации мероприятий, имеющих приоритетное значение для жителей Владивостокского городского округа, посредством реализации проектов инициативного бюджетирования по направлениям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Твой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55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150" w:type="dxa"/>
            <w:textDirection w:val="lrTb"/>
            <w:noWrap w:val="false"/>
          </w:tcPr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Поддержка СОНКО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Развитие общественного партнерства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55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средств бюджета Владивостокского городского округа на финансирование муниципальной программы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прогнозная оценка привлекаемых на реализацию ее целей средств федерального, краевого бюджетов, внебюджетных источников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150" w:type="dxa"/>
            <w:textDirection w:val="lrTb"/>
            <w:noWrap w:val="false"/>
          </w:tcPr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мероприятий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80 896 270,39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 бюджета ВГО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143,16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818,32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11 982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242 550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- 0,00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год - 0,00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2029 год - 0,00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2030 год - 0,00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прогнозная оценка средств, привлекаемых на реализацию целей муниципальной программы, составляет: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федерального бюджета: 0,00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дств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48 229 127,23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из иных внебюджетных источников: 0,00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55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муниципальной программы на достижение национальных целей развития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150" w:type="dxa"/>
            <w:textDirection w:val="lrTb"/>
            <w:noWrap w:val="false"/>
          </w:tcPr>
          <w:p>
            <w:pPr>
              <w:pStyle w:val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потенциала каждого человека, развитие его талантов, воспитание патриотичной и социально ответственной личности /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2"/>
        <w:jc w:val="both"/>
      </w:pPr>
      <w:r/>
      <w:r/>
    </w:p>
    <w:p>
      <w:pPr>
        <w:pStyle w:val="622"/>
        <w:jc w:val="center"/>
      </w:pPr>
      <w:r/>
      <w:r/>
    </w:p>
    <w:p>
      <w:pPr>
        <w:pStyle w:val="622"/>
        <w:sectPr>
          <w:footnotePr/>
          <w:endnotePr/>
          <w:type w:val="nextPage"/>
          <w:pgSz w:w="11906" w:h="16838" w:orient="portrait"/>
          <w:pgMar w:top="1134" w:right="851" w:bottom="1134" w:left="1418" w:header="709" w:footer="709" w:gutter="0"/>
          <w:cols w:num="1" w:sep="0" w:space="708" w:equalWidth="1"/>
          <w:docGrid w:linePitch="360"/>
        </w:sectPr>
      </w:pPr>
      <w:r/>
      <w:r/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2. Показатели муниципальной программы в администрации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Владивостока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</w:pPr>
      <w:r/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37"/>
        <w:gridCol w:w="1929"/>
        <w:gridCol w:w="1168"/>
        <w:gridCol w:w="1018"/>
        <w:gridCol w:w="881"/>
        <w:gridCol w:w="881"/>
        <w:gridCol w:w="881"/>
        <w:gridCol w:w="881"/>
        <w:gridCol w:w="881"/>
        <w:gridCol w:w="881"/>
        <w:gridCol w:w="881"/>
        <w:gridCol w:w="1733"/>
        <w:gridCol w:w="1667"/>
        <w:gridCol w:w="2049"/>
      </w:tblGrid>
      <w:tr>
        <w:tblPrEx/>
        <w:trPr/>
        <w:tc>
          <w:tcPr>
            <w:tcW w:w="437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9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68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8" w:tooltip="https://login.consultant.ru/link/?req=doc&amp;base=LAW&amp;n=495935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8"/>
            <w:tcW w:w="7185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33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67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49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1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(план 2023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3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1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33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tcW w:w="16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в администрации города Владивостока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реализации СОНКО города Владивостока общественно значимых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3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СОНКО города Владивостока общественно значимых программ по направлению - защита прав и интересов ветеранов, проживающих в городе Владивостоке, привлечению ветеранов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патриотическом и нравственном воспитании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3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" w:tooltip="https://login.consultant.ru/link/?req=doc&amp;base=RLAW020&amp;n=215451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Приморского края от 28.12.2018 № 668-па «Об утверждении Стратегии социально-экономического развития Приморского края до 2030 года»;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0" w:tooltip="https://login.consultant.ru/link/?req=doc&amp;base=LAW&amp;n=39801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01.10.2021 № 2765-р «Об утверждении Единого плана по достижению национальных целей развития Российской Федерации на период до 2024 года и на плановый период до 2030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3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СОНКО города Владивостока общественно значимых программ по направлению - защита прав и интересов инвалидов, проживающих в городе Владивостоке, их социокультурной реабилитации и интеграции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общественную 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3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1" w:tooltip="https://login.consultant.ru/link/?req=doc&amp;base=RLAW020&amp;n=215451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Приморского края от 28.12.2018 № 668-па «Об утверждении Стратегии социально-экономического развития Приморского края до 2030 года»;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2" w:tooltip="https://login.consultant.ru/link/?req=doc&amp;base=LAW&amp;n=39801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01.10.2021 № 2765-р «Об утверждении Единого плана по достижению национальных целей развития Российской Федерации на период до 2024 года и на плановый период до 2030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3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социальных проектов, реализованных СОНКО города Владивостока при финансовой поддержке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3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" w:tooltip="https://login.consultant.ru/link/?req=doc&amp;base=RLAW020&amp;n=215451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Приморского края от 28.12.2018 № 668-па «Об утверждении Стратегии социально-экономического развития Приморского края до 2030 года»;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4" w:tooltip="https://login.consultant.ru/link/?req=doc&amp;base=LAW&amp;n=39801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01.10.2021 № 2765-р «Об утверждении Единого плана по достижению национальных целей развития Российской Федерации на период до 2024 года и на плановый период до 2030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43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СОНКО, общественных организаций, которым оказана поддержка в нефинансовых формах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0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73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5" w:tooltip="https://login.consultant.ru/link/?req=doc&amp;base=RLAW020&amp;n=215451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Приморского края от 28.12.2018 № 668-па «Об утверждении Стратегии социально-экономического развития Приморского края до 2030 года»;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" w:tooltip="https://login.consultant.ru/link/?req=doc&amp;base=LAW&amp;n=39801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01.10.2021 № 2765-р «Об утверждении Единого плана по достижению национальных целей развития Российской Федерации на период до 2024 года и на плановый период до 2030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204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tcW w:w="16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в администрации города Владивостока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механизма партнерских отношений между администрацией города Владивостока и некоммерческими организациями, общественными объединениями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3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проведенных совместно с некоммерческими организациями, общественными объединениями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3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" w:tooltip="https://login.consultant.ru/link/?req=doc&amp;base=LAW&amp;n=39801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01.10.2021 № 2765-р «Об утверждении Единого плана по достижению национальных целей развития Российской Федерации на период до 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и на плановый период до 2030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культурно-исторических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3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публикаций, направленных на формирование позитивного представления о людях старшего поколения, их активной жизненной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3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" w:tooltip="https://login.consultant.ru/link/?req=doc&amp;base=RLAW020&amp;n=215451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Приморского края от 28.12.2018 № 668-па «Об утверждении Стратегии социально-экономического развития Приморского края до 2030 года»;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9" w:tooltip="https://login.consultant.ru/link/?req=doc&amp;base=LAW&amp;n=39801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01.10.2021 № 2765-р «Об утверждении Единого плана по достижению национальных целей развития Российской Федерации на период до 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и на плановый период до 2030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43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которым присуждена премия за достижения в области социальной адаптации инвалидов города Владивостока и членов их семей, премия победителям городского конкурса «Семья года города Владивостока»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0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73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0" w:tooltip="https://login.consultant.ru/link/?req=doc&amp;base=LAW&amp;n=39801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01.10.2021 № 2765-р «Об утверждении Единого плана по достижению национальных целей развития Российской Федерации на период до 2024 года и на плановый период до 2030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204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tcW w:w="16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в администрации города Владивостока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ТОС на территории Владивостокского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43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0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117,000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118,000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121,000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122,000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73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1" w:tooltip="https://login.consultant.ru/link/?req=doc&amp;base=LAW&amp;n=398015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01.10.2021 № 2765-р «Об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утверждении Единого плана по достижении национальных целей развития Российской Федерации на период до 2024 года и на плановый период до 2030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204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 2030 году условий для воспитания гармонично развитой, патриотичной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3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инициатив ТОС, реализованных на территории города Владивостока (ежегодно)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3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2" w:tooltip="https://login.consultant.ru/link/?req=doc&amp;base=LAW&amp;n=39801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01.10.2021 № 2765-р «Об утверждении Единого плана по достижению национальных целей развития Российской Федерации на период до 2024 года и на плановый период до 2030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tcW w:w="16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в администрации города Владивостока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реализации мероприятий, имеющих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приоритетное значение для жителей Владивостокского городского округа, посредством реализации проектов инициативного бюджетирования по направлениям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Твой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3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по направлению «Твой проект»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3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3" w:tooltip="https://login.consultant.ru/link/?req=doc&amp;base=LAW&amp;n=39801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01.10.2021 № 2765-р «Об утверждении Единого плана по достижению национальных целей развития Российской Федерации на период до 2024 года и на плановый период до 2030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3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по направлению «Молодежный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3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4" w:tooltip="https://login.consultant.ru/link/?req=doc&amp;base=LAW&amp;n=39801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01.10.2021 № 2765-р «Об утверждении Единого плана по достижению национальных целей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на период до 2024 года и на плановый период до 2030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у детей и молодежи,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2"/>
        <w:sectPr>
          <w:footnotePr/>
          <w:endnotePr/>
          <w:type w:val="nextPage"/>
          <w:pgSz w:w="16838" w:h="11905" w:orient="landscape"/>
          <w:pgMar w:top="1701" w:right="397" w:bottom="850" w:left="397" w:header="0" w:footer="0" w:gutter="0"/>
          <w:cols w:num="1" w:sep="0" w:space="720" w:equalWidth="1"/>
          <w:docGrid w:linePitch="360"/>
          <w:titlePg/>
        </w:sectPr>
      </w:pPr>
      <w:r/>
      <w:r/>
    </w:p>
    <w:p>
      <w:pPr>
        <w:pStyle w:val="622"/>
        <w:jc w:val="both"/>
      </w:pPr>
      <w:r/>
      <w:r/>
    </w:p>
    <w:p>
      <w:pPr>
        <w:pStyle w:val="621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3. Структура муниципальной программы в администрации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Владивостока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8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20"/>
        <w:gridCol w:w="2494"/>
        <w:gridCol w:w="1869"/>
        <w:gridCol w:w="852"/>
        <w:gridCol w:w="3608"/>
      </w:tblGrid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структурного элемента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72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результатов от реализации мероприятий структурного элемента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0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мероприятия с показателями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72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0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882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«Поддержка СОНКО города Владивостока»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882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«Оказание финансовой поддержки из бюджета Владивостокского городского округа СОНКО города Владивостока»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реализацию: Управление развития общественных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63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СОНКО города Владивостока, за исключением государственных (муниципальных) учреждений, путем предоставления СОНКО города Владивостока грантов в форме субсидий из бюджета Владивостокского городского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уга на реализацию социальных проектов по итогам проведения конкурса по отбору социальных проектов СОНКО города Владивостока (за исключением государственных (муниципальных) учреждений) для предоставления грантов из бюджета Владивостокского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bottom w:val="none" w:color="000000" w:sz="4" w:space="0"/>
            </w:tcBorders>
            <w:tcW w:w="272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финансовая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не менее 12 социальных проектов СОНКО города Владивостока, в 2025 - 2030 годах финансовая поддержка не менее 11 социальных проектов СОНКО города Владивостока, повышение активности СОНКО города Владивостока в общественной жизни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360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социальных проектов, реализованных СОНКО города Владивостока при финансовой поддержке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СОНКО города Вла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дивостока, за исключением государственных (муниципальных) учреждений, путем предоставления СОНКО города Владивостока субсидий из бюджета Владивостокского городского округа на обеспечение затрат СОНКО города Владивостока (за исключением государственных (мун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иципальных) учреждений), связанных с реализацией общественно значимых программ СОНКО города Владивостока (за исключением государственных (муниципальных) учреждений) по защите прав и интересов ветеранов города Владивостока, привлечению ветеранов к участию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патриотическом и нравственном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молодежи, по итогам проведения конкурса на получение субсидий из бюджета Владивостокского городского округа на реализацию общественно значимых программ СОНКО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72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финансовая поддержка не менее 3 общественно значимых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защите прав и интересов ветеранов города Владивостока, привлечению ветеранов к участию в патриотическом и нравственном воспитании молодежи СОНКО города Владивостока, повышение активности СОНКО города Владивостока в общественной жизни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0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СОНКО города Владивостока общественно значимых программ по направлению - защита прав и интересов ветеранов, проживающих в городе Владивостоке, привлечению ветеранов к участию в патриотическом и нравственном воспитании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СОНКО города Владивостока,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государственных (муниципальных) учреждений, путем предоставления СОНКО города Владивостока субсидий из бюджета Владивостокского городского округа на обеспечение затрат СОНКО города Владивостока (за исключением государственных (муниципальных)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учреждений), связанных с реализацией общественно значимых программ СОНКО города Владивостока (за исключением государственных (муниципальных) учреждений) по защите прав и интересов инвалидов города Владивостока, их социокультурной реабилитации и интеграции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общественную жизнь, по итогам проведения конкурса на получение субсидий из бюджета Владивостокского городского округа на реализацию общественно значимых программ СОНКО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72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финансовая поддержка не менее 3 общественно значимых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 по защите прав и интересов инвалидов города Владивостока, их социокультурной реабилитации и интеграции в общественную жизнь СОНКО города Владивостока, повышение активности СОНКО города Владивостока в общественной жизни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0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СОНКО города Владивостока общественно значимых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направлению - защита прав и интересов инвалидов, проживающих в городе Владивостоке, их социокультурной реабилитации и интеграции в общественную 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882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«Оказание поддержки СОНКО города Владивостока в нефинансовой форме»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реализацию: Управление развития общественных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63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информационно-просветительские и обучающие мероприятия, направленные на поддержку СОНКО в Приморском крае и популяризацию их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bottom w:val="none" w:color="000000" w:sz="4" w:space="0"/>
            </w:tcBorders>
            <w:tcW w:w="272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поддержка не менее 74 СОНКО города Владивостока, ТОС в нефинансовых формах, в 2025 - 2030 годах поддержка не менее 37 СОНКО города Владивостока, ТОС в нефинансовых формах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360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СОНКО, общественных организаций, которым оказана поддержка в нефинансовых формах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882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общественного партнерства»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882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«Взаимодействие с общественными организациями города Владивостока»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реализацию: Управление развития общественных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63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совместно с общественными организациями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72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110 мероприятий с некоммерческими организациями, общественными объединениями города Владивостока 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0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проведенных совместно с некоммерческими организациями, общественными объединениями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совместно с Советом Почетных граждан при главе города Владивостока и Владивостокской городской общественной организацией ветеранов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72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поздравление граждан, удостоенных звания «Почетный гражданин города Владивостока», с юбилеями и днями рождениями;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поздравление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Великой Отечественной войны с юбилеями, с Днем Победы, чествование граждан, которым исполнилось 100 лет и более; поздравление с 90, 95 летними юбилеями граждан следующих категорий: несовершеннолетние узники фашистских концлагерей, труженики тыла, лица,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награжденные знаком «Жителю блокадного Ленинграда», реабилитированные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поздравлений за год не менее 85.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города Владивостока публикаций, направленных на формирование позитивного представления о людях старшего поколения, их активной жизненной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0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публикаций, направленных на формирование позитивного представления о людях старшего поколения, их активной жизненной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выплаты премии за достижения в области социальной адаптации инвалидов и членов их семей, премии победителям городского конкурса «Семья года города Владивостока»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bottom w:val="none" w:color="000000" w:sz="4" w:space="0"/>
            </w:tcBorders>
            <w:tcW w:w="272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присуждение и выплата 6 премий за достижения в области социальной адаптации инвалидов города Владивостока и членов их семей по результатам проведения конкурса на присужде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премии за достижения в области социальной адаптации инвалидов города Владивостока и членов их семей, в 2024 вручение 4 премий победителям городского конкурса «Семья года города Владивостока», в 2025 - 2030 годах вручение 5 премий победителям городского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«Семья года города Владивостока»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360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которым присуждена премия за достижения в области социальной адаптации инвалидов города Владивостока и членов их семей, премия победителям городского конкурса «Семья года города Владивостока»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882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«Развитие ТОС на территории Владивостокского городского округа»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реализацию: Управление развития общественных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632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в реализации инициатив ТОС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72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 территории города Владивостока не менее 70 инициатив территориальных общественных самоуправлений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0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инициатив ТОС города Владивостока, реализованных на территории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консультативно-методической поддержки представителям ТОС города Владивостока, жителям города Владивостока по вопросам создания и организации деятельности ТОС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72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занятий «Школа ТОС», проведение семинаров, индивидуальных консультаций по вопросам создания и деятельности ТОС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0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bottom w:val="single" w:color="auto" w:sz="4" w:space="0"/>
            </w:tcBorders>
            <w:tcW w:w="882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«Реализация мероприятий, имеющих приоритетное значение для жителей Владивостокского городского округа»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4363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реализацию: 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общественных инициатив администрации города Владивостока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446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по направлению «Твой проект»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реализация не менее 5 мероприятий, имеющих приоритетное значение для жителей Владивостокского городского округа, посредством реализации проектов инициативного бюджетирования по направлению «Твой проект»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60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по направлению «Твой проект»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4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по направлению «Молодежный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реализация не менее 9 мероприятий, имеющих приоритетное значение для жителей Владивостокского городского округа, посредством реализации проектов инициативного бюджетирования по направлению «Молодежный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60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по направлению «Молодежный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2"/>
        <w:sectPr>
          <w:footnotePr/>
          <w:endnotePr/>
          <w:type w:val="nextPage"/>
          <w:pgSz w:w="11905" w:h="16838" w:orient="portrait"/>
          <w:pgMar w:top="1134" w:right="851" w:bottom="1134" w:left="1418" w:header="0" w:footer="0" w:gutter="0"/>
          <w:cols w:num="1" w:sep="0" w:space="720" w:equalWidth="1"/>
          <w:docGrid w:linePitch="360"/>
          <w:titlePg/>
        </w:sectPr>
      </w:pPr>
      <w:r/>
      <w:r/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Финансовое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администрации города Владивостока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</w:pPr>
      <w:r/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82"/>
        <w:gridCol w:w="3859"/>
        <w:gridCol w:w="1900"/>
        <w:gridCol w:w="709"/>
        <w:gridCol w:w="850"/>
        <w:gridCol w:w="1418"/>
        <w:gridCol w:w="1417"/>
        <w:gridCol w:w="1426"/>
        <w:gridCol w:w="621"/>
        <w:gridCol w:w="621"/>
        <w:gridCol w:w="621"/>
        <w:gridCol w:w="621"/>
        <w:gridCol w:w="1423"/>
      </w:tblGrid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программы, подпрограммы, структурного элемента, мероприятия (результата)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8"/>
            <w:tcW w:w="81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финансового обеспечения по годам реализации, рублей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ГРБС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ЦСР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программа «Поддержка общественных инициатив»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40158100,88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35495619,51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5242550,00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80896270,39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24716282,56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23512844,67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48229127,23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4564574,80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355545,57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4920120,37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7799971,68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4950000,00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12749971,68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12351736,08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18207299,10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30559035,18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15441818,32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11982774,84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5242550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32667143,16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124765,02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183912,12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308677,14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15237616,05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11748862,72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5242550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32229028,77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79437,25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129437,25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«Поддержка СОНКО города Владивостока»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9619441,20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5809900,57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3000000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18429341,77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620817,20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355545,57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976362,77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8998624,00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5454355,00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3000000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17452979,00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«Оказание финансовой поддержки из бюджета Владивостокского городского округа СОНКО города Владивостока»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9249441,20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5809900,57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3000000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18059341,77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500817,20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355545,57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856362,77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8748624,00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5454355,00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3000000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17202979,00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финансовой поддержки СОНКО города Владивостока, за исключением государственных (муниципальных) учреждений, путем предоставления СОНКО города Владивостока грантов в форме </w:t>
            </w:r>
            <w:r>
              <w:rPr>
                <w:rFonts w:ascii="Times New Roman" w:hAnsi="Times New Roman" w:cs="Times New Roman"/>
              </w:rPr>
              <w:t xml:space="preserve">субсидий из бюджета Владивостокского городского окр</w:t>
            </w:r>
            <w:r>
              <w:rPr>
                <w:rFonts w:ascii="Times New Roman" w:hAnsi="Times New Roman" w:cs="Times New Roman"/>
              </w:rPr>
              <w:t xml:space="preserve">уга на реализацию социальных проектов по итогам проведения конкурса по отбору социальных проектов СОНКО города Владивостока (за исключением государственных (муниципальных) учреждений) для предоставления грантов из бюджета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6000817,20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2855545,57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8856362,77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08402S2640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500817,20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355545,57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856362,77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0840226010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08402S2640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5500000,00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финансовой поддержки СОНКО города Вла</w:t>
            </w:r>
            <w:r>
              <w:rPr>
                <w:rFonts w:ascii="Times New Roman" w:hAnsi="Times New Roman" w:cs="Times New Roman"/>
              </w:rPr>
              <w:t xml:space="preserve">дивостока, за исключением государственных (муниципальных) учреждений, путем предоставления СОНКО города Владивостока субсидий из бюджета Владивостокского городского округа на обеспечение затрат СОНКО города Владивостока (за исключением государственных (мун</w:t>
            </w:r>
            <w:r>
              <w:rPr>
                <w:rFonts w:ascii="Times New Roman" w:hAnsi="Times New Roman" w:cs="Times New Roman"/>
              </w:rPr>
              <w:t xml:space="preserve">иципальных) учреждений), связанных с реализацией общественно значимых программ СОНКО города Владивостока (за исключением государственных (муниципальных) учреждений) по защите прав и интересов ветеранов города Владивостока, привлечению ветеранов к участию в</w:t>
            </w:r>
            <w:r>
              <w:rPr>
                <w:rFonts w:ascii="Times New Roman" w:hAnsi="Times New Roman" w:cs="Times New Roman"/>
              </w:rPr>
              <w:t xml:space="preserve"> патриотическом и нравственном </w:t>
            </w:r>
            <w:r>
              <w:rPr>
                <w:rFonts w:ascii="Times New Roman" w:hAnsi="Times New Roman" w:cs="Times New Roman"/>
              </w:rPr>
              <w:t xml:space="preserve">воспитании</w:t>
            </w:r>
            <w:r>
              <w:rPr>
                <w:rFonts w:ascii="Times New Roman" w:hAnsi="Times New Roman" w:cs="Times New Roman"/>
              </w:rPr>
              <w:t xml:space="preserve"> молодежи, по итогам проведения конкурса на получение субсидий из бюджета Владивостокского городского округа на реализацию общественно значимых программ СОНКО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1248624,00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2954355,00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3000000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7202979,00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0840226070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1248624,00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2954355,00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3000000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7202979,00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финансовой поддержки СОНКО города Владивостока, </w:t>
            </w:r>
            <w:r>
              <w:rPr>
                <w:rFonts w:ascii="Times New Roman" w:hAnsi="Times New Roman" w:cs="Times New Roman"/>
              </w:rPr>
              <w:t xml:space="preserve">за исключением государственных (муниципальных) учреждений, путем предоставления СОНКО города Владивостока субсидий из бюджета Владивостокского городского округа на обеспечение затрат СОНКО города Владивостока (за исключением государственных (муниципальных)</w:t>
            </w:r>
            <w:r>
              <w:rPr>
                <w:rFonts w:ascii="Times New Roman" w:hAnsi="Times New Roman" w:cs="Times New Roman"/>
              </w:rPr>
              <w:t xml:space="preserve"> учреждений), связанных с реализацией общественно значимых программ СОНКО города Владивостока (за исключением государственных (муниципальных) учреждений) по защите прав и интересов инвалидов города Владивостока, их социокультурной реабилитации и интеграции</w:t>
            </w:r>
            <w:r>
              <w:rPr>
                <w:rFonts w:ascii="Times New Roman" w:hAnsi="Times New Roman" w:cs="Times New Roman"/>
              </w:rPr>
              <w:t xml:space="preserve"> в общественную жизнь, по итогам проведения конкурса на получение субсидий из бюджета Владивостокского городского округа на реализацию общественно значимых программ СОНКО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0840226040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«Оказание поддержки СОНКО города Владивостока в нефинансовой форме»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Информационно-просветительские и обучающие мероприятия, направленные на поддержку СОНКО в Приморском крае и популяризацию их деятельности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08402S2640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08402S2640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0840226020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«Развитие общественного партнерства»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30538659,68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29685718,94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/>
            <w:bookmarkStart w:id="1" w:name="_GoBack"/>
            <w:r>
              <w:rPr>
                <w:rFonts w:ascii="Times New Roman" w:hAnsi="Times New Roman" w:cs="Times New Roman"/>
              </w:rPr>
              <w:t xml:space="preserve">2</w:t>
            </w:r>
            <w:bookmarkEnd w:id="1"/>
            <w:r>
              <w:rPr>
                <w:rFonts w:ascii="Times New Roman" w:hAnsi="Times New Roman" w:cs="Times New Roman"/>
              </w:rPr>
              <w:t xml:space="preserve">242550,00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62466928,62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24095465,36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23157299,10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47252764,46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12351736,08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18207299,10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30559035,18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7799971,68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4950000,00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12749971,68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3943757,60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3943757,60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</w:t>
            </w:r>
            <w:r>
              <w:rPr>
                <w:rFonts w:ascii="Times New Roman" w:hAnsi="Times New Roman" w:cs="Times New Roman"/>
              </w:rPr>
              <w:t xml:space="preserve">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6443194,32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6528419,84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2242550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15214164,16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124765,02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183912,12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308677,14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79437,25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129437,25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6238992,05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6294507,72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2242550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14776049,77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«Взаимодействие с общественными организациями города Владивостока»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6193537,50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5294507,72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2242550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13730595,22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6193537,50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5294507,72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2242550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13730595,22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 совместно с общественными организациями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3888537,50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3173507,72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260000,</w:t>
            </w:r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7322045,22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0840326020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3888537,50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3173507,72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260000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7322045,22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мероприятий совместно с Советом Почетных граждан при главе города Владивостока и Владивостокской городской общественной организацией ветеранов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1546000,00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1982550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5028550,00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0840326050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1546000,00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1982550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5028550,00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выплаты премии за достижения в области социальной адаптации инвалидов и членов их семей, премии победителям городского конкурса «Семья года города Владивостока»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805000,00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575000,00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1380000,00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0840326020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805000,00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575000,00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1380000,00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«Развитие ТОС на территории Владивостокского городского округа»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содействия в реализации инициатив ТОС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0840426020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консультативно-методической поддержки представителям ТОС города Владивостока, жителям города Владивостока по вопросам создания и организации деятельности ТОС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0840426050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«Реализация мероприятий, имеющих приоритетное значение для жителей Владивостокского городского округа»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24345122,18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23391211,22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47736333,40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24095465,36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23157299,10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47252764,46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12351736,08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18207299,10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30559035,18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7799971,68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4950000,00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12749971,68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3943757,60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3943757,60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249656,82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233912,12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483568,94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124765,02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183912,12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308677,14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79437,25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129437,25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45454,55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45454,55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проектов </w:t>
            </w:r>
            <w:r>
              <w:rPr>
                <w:rFonts w:ascii="Times New Roman" w:hAnsi="Times New Roman" w:cs="Times New Roman"/>
              </w:rPr>
              <w:t xml:space="preserve">инициативного</w:t>
            </w:r>
            <w:r>
              <w:rPr>
                <w:rFonts w:ascii="Times New Roman" w:hAnsi="Times New Roman" w:cs="Times New Roman"/>
              </w:rPr>
              <w:t xml:space="preserve"> бюджетирования по направлению «Твой проект»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13127435,38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12227878,38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25355313,76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12993604,19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12105599,60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25099203,79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08405S2361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2808632,55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2808632,55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0844ЦS2365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2309999,78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2309999,78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08405S2363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2785776,11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2785776,11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08405S2364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2849703,12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2849703,12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08405S2365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2164492,45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2164492,45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0844ЦS2361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2465100,00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2465100,00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0844ЦS2362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2484900,00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2484900,00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08405S2362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2384999,96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2384999,96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0844ЦS2363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2429999,82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2429999,82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0844ЦS2364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2415600,00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2415600,00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133831,19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122278,78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256109,97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0844ЦS2363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24545,45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24545,45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08405S2362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24090,91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24090,91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0844ЦS2362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25100,00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0844ЦS2361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24900,00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24900,00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08405S2361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30303,03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30303,03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08405S2364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28784,88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28784,88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08405S2363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28784,88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28784,88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0844ЦS2365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23333,33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23333,33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08405S2365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21867,49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21867,49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0844ЦS2364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24400,00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24400,00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проектов </w:t>
            </w:r>
            <w:r>
              <w:rPr>
                <w:rFonts w:ascii="Times New Roman" w:hAnsi="Times New Roman" w:cs="Times New Roman"/>
              </w:rPr>
              <w:t xml:space="preserve">инициативного</w:t>
            </w:r>
            <w:r>
              <w:rPr>
                <w:rFonts w:ascii="Times New Roman" w:hAnsi="Times New Roman" w:cs="Times New Roman"/>
              </w:rPr>
              <w:t xml:space="preserve"> бюджетирования по направлению «Молодежный бюджет»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11217686,80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11163332,84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22381019,64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11101861,17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11051699,50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22153560,67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1372499,96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1372499,96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1454999,99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1454999,99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1147499,92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1147499,92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1222499,92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1222499,92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1184999,90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1184999,90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1072499,87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1072499,87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899999,90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899999,90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1214999,91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1214999,91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1125978,60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1125978,60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1198488,68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1198488,68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1279500,00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1279500,00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992769,03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992769,03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1500000,00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</w:t>
            </w:r>
            <w:r>
              <w:rPr>
                <w:rFonts w:ascii="Times New Roman" w:hAnsi="Times New Roman" w:cs="Times New Roman"/>
              </w:rPr>
              <w:t xml:space="preserve">2758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1135125,05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1135125,05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1282499,94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1282499,94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1069200,00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1069200,00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restart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115825,63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111633,34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227458,97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12105,95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12105,95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15151,52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15151,52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11373,52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11373,52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12954,54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12954,54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12272,73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12272,73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10833,33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10833,33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12924,24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12924,24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11969,70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11969,70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12348,48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12348,48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</w:t>
            </w:r>
            <w:r>
              <w:rPr>
                <w:rFonts w:ascii="Times New Roman" w:hAnsi="Times New Roman" w:cs="Times New Roman"/>
              </w:rPr>
              <w:t xml:space="preserve">2755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11590,91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11590,91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14696,97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14696,97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9090,91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9090,91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10800,00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10800,00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15151,52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15151,52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10027,97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10027,97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15151,52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15151,52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08405S2754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13863,64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13863,64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0844ЦS2752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15151,52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15151,52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82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859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0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внебюджетные источники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6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1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23" w:type="dxa"/>
            <w:textDirection w:val="lrTb"/>
            <w:noWrap w:val="false"/>
          </w:tcPr>
          <w:p>
            <w:pPr>
              <w:pStyle w:val="62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622"/>
        <w:sectPr>
          <w:footnotePr/>
          <w:endnotePr/>
          <w:type w:val="nextPage"/>
          <w:pgSz w:w="16838" w:h="11905" w:orient="landscape"/>
          <w:pgMar w:top="1701" w:right="397" w:bottom="850" w:left="397" w:header="0" w:footer="0" w:gutter="0"/>
          <w:cols w:num="1" w:sep="0" w:space="720" w:equalWidth="1"/>
          <w:docGrid w:linePitch="360"/>
          <w:titlePg/>
        </w:sectPr>
      </w:pPr>
      <w:r/>
      <w:r/>
    </w:p>
    <w:p>
      <w:pPr>
        <w:pStyle w:val="622"/>
        <w:jc w:val="both"/>
      </w:pPr>
      <w:r/>
      <w:r/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5. Информация о </w:t>
      </w:r>
      <w:r>
        <w:rPr>
          <w:rFonts w:ascii="Times New Roman" w:hAnsi="Times New Roman" w:cs="Times New Roman"/>
          <w:sz w:val="28"/>
          <w:szCs w:val="28"/>
        </w:rPr>
        <w:t xml:space="preserve">социальных</w:t>
      </w:r>
      <w:r>
        <w:rPr>
          <w:rFonts w:ascii="Times New Roman" w:hAnsi="Times New Roman" w:cs="Times New Roman"/>
          <w:sz w:val="28"/>
          <w:szCs w:val="28"/>
        </w:rPr>
        <w:t xml:space="preserve">, финансовых, стимулирующих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налоговых </w:t>
      </w:r>
      <w:r>
        <w:rPr>
          <w:rFonts w:ascii="Times New Roman" w:hAnsi="Times New Roman" w:cs="Times New Roman"/>
          <w:sz w:val="28"/>
          <w:szCs w:val="28"/>
        </w:rPr>
        <w:t xml:space="preserve">льготах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326"/>
        <w:gridCol w:w="1056"/>
        <w:gridCol w:w="1166"/>
        <w:gridCol w:w="1436"/>
        <w:gridCol w:w="1540"/>
        <w:gridCol w:w="1190"/>
        <w:gridCol w:w="1166"/>
        <w:gridCol w:w="800"/>
        <w:gridCol w:w="1166"/>
        <w:gridCol w:w="1284"/>
        <w:gridCol w:w="1540"/>
        <w:gridCol w:w="1205"/>
        <w:gridCol w:w="431"/>
        <w:gridCol w:w="431"/>
        <w:gridCol w:w="431"/>
      </w:tblGrid>
      <w:tr>
        <w:tblPrEx/>
        <w:trPr/>
        <w:tc>
          <w:tcPr>
            <w:tcW w:w="1191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Нормативный правовой акт, устанавливающий налоговую льготу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4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Краткое наименование налоговой льготы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762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Критерии целесообразности налоговой льготы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6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мероприятий муниципальной 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0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налоговой льготы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47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Целевой показатель муниципальной программы, на значение (достижение) которого оказывает влияние налоговая льгота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Результативность налоговой льготы (какое влияние оказала налоговая льгота на достижение целевого показателя муниципальной программы)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04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Бюджетный эффект налоговой льготы (сумма дополнительных налоговых поступлений в бюджет Владивостокского городского округа от налогоплательщиков, пользующихся налоговой льготой) тыс. руб.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ведомственной классификации ответственного исполнителя (соисполнителя) муниципальной 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2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Налоговая льгота по годам тыс. руб.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и задачи муниципальной программы, которым соответствует налоговая льгота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администрирование налоговой льготы (не более 10% от объема налоговой льготы) тыс. руб.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Востребованность налоговой льготы (количество налогоплательщиков, которым предоставлена льгота)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Положительные внешние эффекты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119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6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4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119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6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4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622"/>
        <w:sectPr>
          <w:footnotePr/>
          <w:endnotePr/>
          <w:type w:val="nextPage"/>
          <w:pgSz w:w="16838" w:h="11905" w:orient="landscape"/>
          <w:pgMar w:top="1701" w:right="397" w:bottom="850" w:left="397" w:header="0" w:footer="0" w:gutter="0"/>
          <w:cols w:num="1" w:sep="0" w:space="720" w:equalWidth="1"/>
          <w:docGrid w:linePitch="360"/>
          <w:titlePg/>
        </w:sectPr>
      </w:pPr>
      <w:r/>
      <w:r/>
    </w:p>
    <w:p>
      <w:pPr>
        <w:pStyle w:val="622"/>
        <w:jc w:val="both"/>
      </w:pPr>
      <w:r/>
      <w:r/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Прогноз сводных показателей муниципальных заданий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оказание муниципальных услуг (выполнение работ)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в рамках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администрации города Владивостока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60"/>
        <w:gridCol w:w="1768"/>
        <w:gridCol w:w="1768"/>
        <w:gridCol w:w="964"/>
        <w:gridCol w:w="340"/>
        <w:gridCol w:w="794"/>
        <w:gridCol w:w="1312"/>
        <w:gridCol w:w="340"/>
        <w:gridCol w:w="1312"/>
      </w:tblGrid>
      <w:tr>
        <w:tblPrEx/>
        <w:trPr/>
        <w:tc>
          <w:tcPr>
            <w:tcW w:w="460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8" w:type="dxa"/>
            <w:vMerge w:val="restart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услуги (работы), показателя объема услуги (работы)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3866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показателя объема муниципальной услуги (работы)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96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бюджета Владивостокского городского округа на оказание муниципальной услуги (выполнение работы), тыс. руб.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460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8" w:type="dxa"/>
            <w:vMerge w:val="continue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Единицы измерения муниципальной услуги (работы), показателя объема услуги (работы)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первый год реализации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последний год реализации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первый год реализации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последний год реализации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46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8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4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46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46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W w:w="9058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Справочно</w:t>
            </w:r>
            <w:r>
              <w:rPr>
                <w:rFonts w:ascii="Times New Roman" w:hAnsi="Times New Roman" w:cs="Times New Roman"/>
              </w:rPr>
              <w:t xml:space="preserve">: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46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tcW w:w="563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затраты на уплату налогов, в качестве объекта налогообложения по которым признается имущество учреждений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46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tcW w:w="5634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финансовое обеспечение выполнения муниципального задания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12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622"/>
        <w:jc w:val="both"/>
      </w:pPr>
      <w:r/>
      <w:r/>
    </w:p>
    <w:sectPr>
      <w:footnotePr/>
      <w:endnotePr/>
      <w:type w:val="nextPage"/>
      <w:pgSz w:w="11905" w:h="16838" w:orient="portrait"/>
      <w:pgMar w:top="1134" w:right="850" w:bottom="1134" w:left="1701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62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623">
    <w:name w:val="Balloon Text"/>
    <w:basedOn w:val="617"/>
    <w:link w:val="62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4" w:customStyle="1">
    <w:name w:val="Текст выноски Знак"/>
    <w:basedOn w:val="618"/>
    <w:link w:val="62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login.consultant.ru/link/?req=doc&amp;base=LAW&amp;n=495935" TargetMode="External"/><Relationship Id="rId9" Type="http://schemas.openxmlformats.org/officeDocument/2006/relationships/hyperlink" Target="https://login.consultant.ru/link/?req=doc&amp;base=RLAW020&amp;n=215451" TargetMode="External"/><Relationship Id="rId10" Type="http://schemas.openxmlformats.org/officeDocument/2006/relationships/hyperlink" Target="https://login.consultant.ru/link/?req=doc&amp;base=LAW&amp;n=398016" TargetMode="External"/><Relationship Id="rId11" Type="http://schemas.openxmlformats.org/officeDocument/2006/relationships/hyperlink" Target="https://login.consultant.ru/link/?req=doc&amp;base=RLAW020&amp;n=215451" TargetMode="External"/><Relationship Id="rId12" Type="http://schemas.openxmlformats.org/officeDocument/2006/relationships/hyperlink" Target="https://login.consultant.ru/link/?req=doc&amp;base=LAW&amp;n=398016" TargetMode="External"/><Relationship Id="rId13" Type="http://schemas.openxmlformats.org/officeDocument/2006/relationships/hyperlink" Target="https://login.consultant.ru/link/?req=doc&amp;base=RLAW020&amp;n=215451" TargetMode="External"/><Relationship Id="rId14" Type="http://schemas.openxmlformats.org/officeDocument/2006/relationships/hyperlink" Target="https://login.consultant.ru/link/?req=doc&amp;base=LAW&amp;n=398016" TargetMode="External"/><Relationship Id="rId15" Type="http://schemas.openxmlformats.org/officeDocument/2006/relationships/hyperlink" Target="https://login.consultant.ru/link/?req=doc&amp;base=RLAW020&amp;n=215451" TargetMode="External"/><Relationship Id="rId16" Type="http://schemas.openxmlformats.org/officeDocument/2006/relationships/hyperlink" Target="https://login.consultant.ru/link/?req=doc&amp;base=LAW&amp;n=398016" TargetMode="External"/><Relationship Id="rId17" Type="http://schemas.openxmlformats.org/officeDocument/2006/relationships/hyperlink" Target="https://login.consultant.ru/link/?req=doc&amp;base=LAW&amp;n=398016" TargetMode="External"/><Relationship Id="rId18" Type="http://schemas.openxmlformats.org/officeDocument/2006/relationships/hyperlink" Target="https://login.consultant.ru/link/?req=doc&amp;base=RLAW020&amp;n=215451" TargetMode="External"/><Relationship Id="rId19" Type="http://schemas.openxmlformats.org/officeDocument/2006/relationships/hyperlink" Target="https://login.consultant.ru/link/?req=doc&amp;base=LAW&amp;n=398016" TargetMode="External"/><Relationship Id="rId20" Type="http://schemas.openxmlformats.org/officeDocument/2006/relationships/hyperlink" Target="https://login.consultant.ru/link/?req=doc&amp;base=LAW&amp;n=398016" TargetMode="External"/><Relationship Id="rId21" Type="http://schemas.openxmlformats.org/officeDocument/2006/relationships/hyperlink" Target="https://login.consultant.ru/link/?req=doc&amp;base=LAW&amp;n=398015" TargetMode="External"/><Relationship Id="rId22" Type="http://schemas.openxmlformats.org/officeDocument/2006/relationships/hyperlink" Target="https://login.consultant.ru/link/?req=doc&amp;base=LAW&amp;n=398016" TargetMode="External"/><Relationship Id="rId23" Type="http://schemas.openxmlformats.org/officeDocument/2006/relationships/hyperlink" Target="https://login.consultant.ru/link/?req=doc&amp;base=LAW&amp;n=398016" TargetMode="External"/><Relationship Id="rId24" Type="http://schemas.openxmlformats.org/officeDocument/2006/relationships/hyperlink" Target="https://login.consultant.ru/link/?req=doc&amp;base=LAW&amp;n=3980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Николаевна Гоголева</dc:creator>
  <cp:lastModifiedBy>sopova</cp:lastModifiedBy>
  <cp:revision>8</cp:revision>
  <dcterms:created xsi:type="dcterms:W3CDTF">2025-10-20T06:36:00Z</dcterms:created>
  <dcterms:modified xsi:type="dcterms:W3CDTF">2025-10-27T02:09:23Z</dcterms:modified>
</cp:coreProperties>
</file>